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F6" w:rsidRDefault="00A20217" w:rsidP="0094071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B30F6" w:rsidRPr="00BB30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 технологии в диагностике и лечении гинекологических заболеваний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801ED" w:rsidRPr="00940718" w:rsidRDefault="00743E03" w:rsidP="00940718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XX</w:t>
      </w:r>
      <w:r w:rsidR="00A20217" w:rsidRPr="00940718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Юбилейный </w:t>
      </w:r>
      <w:r w:rsidR="00A20217" w:rsidRPr="00940718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Международный конгресс с курсом эндоскопии</w:t>
      </w:r>
      <w:r w:rsidR="00940718" w:rsidRPr="00940718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.</w:t>
      </w:r>
    </w:p>
    <w:p w:rsidR="00A20217" w:rsidRPr="00A20217" w:rsidRDefault="00A20217" w:rsidP="00A20217"/>
    <w:p w:rsidR="00BB30F6" w:rsidRPr="00BB30F6" w:rsidRDefault="00BB30F6" w:rsidP="00BB30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Дата проведения:</w:t>
      </w:r>
      <w:r w:rsidR="00743E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6–9 июня 2017</w:t>
      </w:r>
      <w:r w:rsidRPr="00BB3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года.</w:t>
      </w:r>
    </w:p>
    <w:p w:rsidR="00BB30F6" w:rsidRDefault="00BB30F6" w:rsidP="00BB30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проведения:</w:t>
      </w:r>
      <w:r w:rsidRPr="00BB3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г. </w:t>
      </w:r>
      <w:r w:rsidRPr="00BB3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Москва, ФГБУ «</w:t>
      </w:r>
      <w:proofErr w:type="spellStart"/>
      <w:r w:rsidRPr="00BB3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НЦАГиП</w:t>
      </w:r>
      <w:proofErr w:type="spellEnd"/>
      <w:r w:rsidRPr="00BB30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им. В.И. Кулакова» Минздрава России (ул. Академика Опарина, 4).</w:t>
      </w:r>
    </w:p>
    <w:bookmarkEnd w:id="0"/>
    <w:p w:rsidR="00BB30F6" w:rsidRDefault="00BB30F6" w:rsidP="00BB30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B30F6" w:rsidRPr="00BB30F6" w:rsidRDefault="00BB30F6" w:rsidP="00BB30F6">
      <w:pPr>
        <w:pStyle w:val="3"/>
        <w:rPr>
          <w:rStyle w:val="a3"/>
          <w:rFonts w:ascii="Times New Roman" w:hAnsi="Times New Roman" w:cs="Times New Roman"/>
          <w:color w:val="auto"/>
          <w:lang w:eastAsia="ru-RU"/>
        </w:rPr>
      </w:pPr>
      <w:r w:rsidRPr="00BB30F6">
        <w:rPr>
          <w:rStyle w:val="a3"/>
          <w:rFonts w:ascii="Times New Roman" w:hAnsi="Times New Roman" w:cs="Times New Roman"/>
          <w:color w:val="auto"/>
          <w:lang w:eastAsia="ru-RU"/>
        </w:rPr>
        <w:t>Организаторы</w:t>
      </w:r>
      <w:r>
        <w:rPr>
          <w:rStyle w:val="a3"/>
          <w:rFonts w:ascii="Times New Roman" w:hAnsi="Times New Roman" w:cs="Times New Roman"/>
          <w:color w:val="auto"/>
          <w:lang w:eastAsia="ru-RU"/>
        </w:rPr>
        <w:t>: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Министерство здравоохранения РФ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ФГБУ «Научный центр акушерства, гинекологии и </w:t>
      </w:r>
      <w:proofErr w:type="spellStart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перинатологии</w:t>
      </w:r>
      <w:proofErr w:type="spellEnd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им. академика В.И. Кулакова» Минздрава России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Российское общество акушеров-гинекологов (РОАГ)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Общество репродуктивной медицины и хирургии (ОРМХ)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Российская ассоциация гинекологов-</w:t>
      </w:r>
      <w:proofErr w:type="spellStart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эндоскопистов</w:t>
      </w:r>
      <w:proofErr w:type="spellEnd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(РАГЭ)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Российская ассоциация </w:t>
      </w:r>
      <w:proofErr w:type="spellStart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эндометриоза</w:t>
      </w:r>
      <w:proofErr w:type="spellEnd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(РАЭ)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Конгресс-оператор ООО "МЕДИ Экспо"</w:t>
      </w:r>
    </w:p>
    <w:p w:rsidR="00BB30F6" w:rsidRDefault="00BB30F6" w:rsidP="00BB30F6">
      <w:pPr>
        <w:pStyle w:val="a4"/>
      </w:pPr>
      <w:r>
        <w:rPr>
          <w:rStyle w:val="a3"/>
          <w:rFonts w:eastAsiaTheme="majorEastAsia"/>
        </w:rPr>
        <w:t>При участии:</w:t>
      </w:r>
    </w:p>
    <w:p w:rsidR="00BB30F6" w:rsidRPr="00BB30F6" w:rsidRDefault="00BB30F6" w:rsidP="00BB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Американской ассоциации гинекологов-</w:t>
      </w:r>
      <w:proofErr w:type="spellStart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лапароскопистов</w:t>
      </w:r>
      <w:proofErr w:type="spellEnd"/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(AAGL) </w:t>
      </w:r>
    </w:p>
    <w:p w:rsidR="00BB30F6" w:rsidRPr="00BB30F6" w:rsidRDefault="00BB30F6" w:rsidP="00352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30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Европейской ассоциации по гинекологической эндоскопии (ESGE)</w:t>
      </w:r>
    </w:p>
    <w:p w:rsidR="00743E03" w:rsidRDefault="00743E03" w:rsidP="00743E03">
      <w:pPr>
        <w:pStyle w:val="3"/>
      </w:pPr>
      <w:r>
        <w:t>Председатели конгресса</w:t>
      </w:r>
    </w:p>
    <w:tbl>
      <w:tblPr>
        <w:tblW w:w="9348" w:type="dxa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39"/>
        <w:gridCol w:w="148"/>
        <w:gridCol w:w="4961"/>
      </w:tblGrid>
      <w:tr w:rsidR="00743E03" w:rsidTr="00743E03">
        <w:trPr>
          <w:tblCellSpacing w:w="0" w:type="dxa"/>
        </w:trPr>
        <w:tc>
          <w:tcPr>
            <w:tcW w:w="423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743E03" w:rsidRDefault="00743E03" w:rsidP="00743E03">
            <w:pPr>
              <w:spacing w:after="30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952500" cy="1212850"/>
                  <wp:effectExtent l="0" t="0" r="0" b="6350"/>
                  <wp:wrapTight wrapText="bothSides">
                    <wp:wrapPolygon edited="0">
                      <wp:start x="0" y="0"/>
                      <wp:lineTo x="0" y="21374"/>
                      <wp:lineTo x="21168" y="21374"/>
                      <wp:lineTo x="21168" y="0"/>
                      <wp:lineTo x="0" y="0"/>
                    </wp:wrapPolygon>
                  </wp:wrapTight>
                  <wp:docPr id="7" name="Рисунок 7" descr="http://mediexpo.ru/fileadmin/user_upload/content/img/greet/adamyan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expo.ru/fileadmin/user_upload/content/img/greet/adamyan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3"/>
                <w:sz w:val="21"/>
                <w:szCs w:val="21"/>
              </w:rPr>
              <w:t xml:space="preserve">Л.В. </w:t>
            </w:r>
            <w:proofErr w:type="spellStart"/>
            <w:r>
              <w:rPr>
                <w:rStyle w:val="a3"/>
                <w:sz w:val="21"/>
                <w:szCs w:val="21"/>
              </w:rPr>
              <w:t>Адамян</w:t>
            </w:r>
            <w:proofErr w:type="spellEnd"/>
            <w:r>
              <w:rPr>
                <w:sz w:val="21"/>
                <w:szCs w:val="21"/>
              </w:rPr>
              <w:br/>
              <w:t>академик РАН, профессор Заместитель директора ФГБУ «</w:t>
            </w:r>
            <w:proofErr w:type="spellStart"/>
            <w:r>
              <w:rPr>
                <w:sz w:val="21"/>
                <w:szCs w:val="21"/>
              </w:rPr>
              <w:t>НЦАГиП</w:t>
            </w:r>
            <w:proofErr w:type="spellEnd"/>
            <w:r>
              <w:rPr>
                <w:sz w:val="21"/>
                <w:szCs w:val="21"/>
              </w:rPr>
              <w:t xml:space="preserve"> им. академика В.И. Кулакова» Минздрава России</w:t>
            </w:r>
            <w:r>
              <w:rPr>
                <w:sz w:val="21"/>
                <w:szCs w:val="21"/>
              </w:rPr>
              <w:br/>
              <w:t>Президент Российской ассоциации гинекологов-</w:t>
            </w:r>
            <w:proofErr w:type="spellStart"/>
            <w:r>
              <w:rPr>
                <w:sz w:val="21"/>
                <w:szCs w:val="21"/>
              </w:rPr>
              <w:t>эндоскопистов</w:t>
            </w:r>
            <w:proofErr w:type="spellEnd"/>
          </w:p>
        </w:tc>
        <w:tc>
          <w:tcPr>
            <w:tcW w:w="148" w:type="dxa"/>
            <w:hideMark/>
          </w:tcPr>
          <w:p w:rsidR="00743E03" w:rsidRDefault="00743E03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743E03" w:rsidRDefault="00743E03">
            <w:pPr>
              <w:spacing w:after="30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52500" cy="1270000"/>
                  <wp:effectExtent l="0" t="0" r="0" b="6350"/>
                  <wp:wrapTight wrapText="bothSides">
                    <wp:wrapPolygon edited="0">
                      <wp:start x="0" y="0"/>
                      <wp:lineTo x="0" y="21384"/>
                      <wp:lineTo x="21168" y="21384"/>
                      <wp:lineTo x="21168" y="0"/>
                      <wp:lineTo x="0" y="0"/>
                    </wp:wrapPolygon>
                  </wp:wrapTight>
                  <wp:docPr id="6" name="Рисунок 6" descr="http://mediexpo.ru/fileadmin/user_upload/content/img/greet/suhih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expo.ru/fileadmin/user_upload/content/img/greet/suhih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3"/>
              </w:rPr>
              <w:t>Г.Т. Сухих</w:t>
            </w:r>
            <w:r>
              <w:rPr>
                <w:b/>
                <w:bCs/>
              </w:rPr>
              <w:br/>
            </w:r>
            <w:r>
              <w:rPr>
                <w:sz w:val="21"/>
                <w:szCs w:val="21"/>
              </w:rPr>
              <w:t>Академик РАН, профессор Директор ФГБУ «</w:t>
            </w:r>
            <w:proofErr w:type="spellStart"/>
            <w:r>
              <w:rPr>
                <w:sz w:val="21"/>
                <w:szCs w:val="21"/>
              </w:rPr>
              <w:t>НЦАГиП</w:t>
            </w:r>
            <w:proofErr w:type="spellEnd"/>
            <w:r>
              <w:rPr>
                <w:sz w:val="21"/>
                <w:szCs w:val="21"/>
              </w:rPr>
              <w:t xml:space="preserve"> им. академика В.И. Кулакова» Минздрава России</w:t>
            </w:r>
            <w:r>
              <w:rPr>
                <w:sz w:val="21"/>
                <w:szCs w:val="21"/>
              </w:rPr>
              <w:br/>
              <w:t xml:space="preserve">Зав. кафедрой акушерства, гинекологии, </w:t>
            </w:r>
            <w:proofErr w:type="spellStart"/>
            <w:r>
              <w:rPr>
                <w:sz w:val="21"/>
                <w:szCs w:val="21"/>
              </w:rPr>
              <w:t>перинатологии</w:t>
            </w:r>
            <w:proofErr w:type="spellEnd"/>
            <w:r>
              <w:rPr>
                <w:sz w:val="21"/>
                <w:szCs w:val="21"/>
              </w:rPr>
              <w:t xml:space="preserve"> и </w:t>
            </w:r>
            <w:proofErr w:type="spellStart"/>
            <w:r>
              <w:rPr>
                <w:sz w:val="21"/>
                <w:szCs w:val="21"/>
              </w:rPr>
              <w:t>репродуктологии</w:t>
            </w:r>
            <w:proofErr w:type="spellEnd"/>
            <w:r>
              <w:rPr>
                <w:sz w:val="21"/>
                <w:szCs w:val="21"/>
              </w:rPr>
              <w:t xml:space="preserve"> ФППО педиатров ММА им. И.М. Сеченова</w:t>
            </w:r>
          </w:p>
        </w:tc>
      </w:tr>
    </w:tbl>
    <w:p w:rsidR="00743E03" w:rsidRPr="00743E03" w:rsidRDefault="00743E03" w:rsidP="007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Конгресс посвящен современным аспектам использования новейших технологий в гинекологии, в том числе возможностям диагностики и коррекции гинекологической патологии (миомы матки, опухолей и опухолевидных образований придатков,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стрессового недержания мочи, пороков развития гениталий, бесплодия, сочетанной гинекологической и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патологии), эндоскопии в сферах реконструктивной хирургии,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репродуктологии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акушерства, фетальной хирургии, тазовой хирургии и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онкогинекологии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альтернативным высокотехнологичным методикам диагностики и лечения женских болезней.</w:t>
      </w:r>
    </w:p>
    <w:p w:rsidR="00743E03" w:rsidRPr="00743E03" w:rsidRDefault="00743E03" w:rsidP="007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конгресс проводится совместно с ведущими учеными, признанными авторитетами современной гинекологии России, СНГ, ближнего и дальнего зарубежья, в том числе при участии ведущих гинекологов-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эндоскопистов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мира: </w:t>
      </w:r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J.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Hamou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France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D. </w:t>
      </w:r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V.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Valsky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Israel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A.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Wattiez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France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S.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Gordts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Belgium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Y.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Deprest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Belgium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O.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Donnez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Belgium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G.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Keckstein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Austria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 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Koninckx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(Belgium),   M.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Kopjar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(Croatia),  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D.Querleu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(France),   M.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Malzoni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(Italy),   Sh.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Puntambekar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(India),   A. Setubal (Portugal),   M.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Telang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(India),   R.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Tozzi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(Great Britain),   A.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Ussia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(Italy),   V. </w:t>
      </w:r>
      <w:proofErr w:type="spellStart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Cela</w:t>
      </w:r>
      <w:proofErr w:type="spellEnd"/>
      <w:r w:rsidRPr="00743E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(Italy)</w:t>
      </w:r>
      <w:r w:rsidRPr="00743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3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 </w:t>
      </w:r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выступят с докладами и лекциями по всем актуальным вопросам современной гинекологии и смежных разделов медицины, представят новейшие диагностические и лечебные технологии.</w:t>
      </w:r>
    </w:p>
    <w:p w:rsidR="00743E03" w:rsidRPr="00743E03" w:rsidRDefault="00743E03" w:rsidP="007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внимание будет уделено тактике и альтернативным технологиям лечения миомы матки (в том числе, с использованием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улипристала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ацетата), диагностике и лечению распространенных и осложненных форм инфильтративного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вовлечением тазовых органов, современным подходам к онкогинекологическим заболеваниям у больных репродуктивного возраста.</w:t>
      </w:r>
    </w:p>
    <w:p w:rsidR="00743E03" w:rsidRDefault="00743E03" w:rsidP="007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конгрессе пройдут интерактивные видеотрансляции, будут продемонстрированы инновационные методики реконструктивно-пластических операций на органах репродуктивной системы с использованием новых технологий в лапароскопии и </w:t>
      </w:r>
      <w:proofErr w:type="spellStart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743E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различных полимерных материалов и протезов.</w:t>
      </w:r>
    </w:p>
    <w:p w:rsidR="00534008" w:rsidRDefault="00534008" w:rsidP="007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открыта на официальной странице Конгресса </w:t>
      </w:r>
      <w:hyperlink r:id="rId9" w:history="1">
        <w:r w:rsidRPr="00534008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http://www.mediexpo.ru/calendar/forums/nt-2017/index/</w:t>
        </w:r>
      </w:hyperlink>
      <w:r w:rsidRPr="005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03793" w:rsidRPr="00534008" w:rsidRDefault="00403793" w:rsidP="007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D52" w:rsidRPr="00A20217" w:rsidRDefault="006D73BE" w:rsidP="00352D52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02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Контакты: </w:t>
      </w:r>
    </w:p>
    <w:p w:rsidR="00A20217" w:rsidRDefault="00A20217" w:rsidP="00A20217">
      <w:pPr>
        <w:pStyle w:val="a4"/>
      </w:pPr>
      <w:r>
        <w:rPr>
          <w:rStyle w:val="a3"/>
          <w:rFonts w:eastAsiaTheme="majorEastAsia"/>
        </w:rPr>
        <w:t xml:space="preserve">Оргкомитет Конгресса (по вопросам научной </w:t>
      </w:r>
      <w:proofErr w:type="gramStart"/>
      <w:r>
        <w:rPr>
          <w:rStyle w:val="a3"/>
          <w:rFonts w:eastAsiaTheme="majorEastAsia"/>
        </w:rPr>
        <w:t>программы)</w:t>
      </w:r>
      <w:r>
        <w:br/>
        <w:t>Тел.</w:t>
      </w:r>
      <w:proofErr w:type="gramEnd"/>
      <w:r>
        <w:t>: +7 (495) 438-94-00</w:t>
      </w:r>
      <w:r>
        <w:br/>
        <w:t>Факс: +7 (495) 438-77-83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a"/>
          </w:rPr>
          <w:t>endogyn@mail.ru</w:t>
        </w:r>
      </w:hyperlink>
    </w:p>
    <w:p w:rsidR="00A20217" w:rsidRDefault="00A20217" w:rsidP="00A20217">
      <w:pPr>
        <w:pStyle w:val="a4"/>
      </w:pPr>
      <w:r>
        <w:rPr>
          <w:rStyle w:val="a3"/>
        </w:rPr>
        <w:t>Регистрация делегатов                                               Участие в выставке</w:t>
      </w:r>
      <w:r>
        <w:br/>
        <w:t xml:space="preserve">Мария </w:t>
      </w:r>
      <w:proofErr w:type="spellStart"/>
      <w:r>
        <w:t>Сизова</w:t>
      </w:r>
      <w:proofErr w:type="spellEnd"/>
      <w:r>
        <w:t xml:space="preserve">                                                                 Виолетта </w:t>
      </w:r>
      <w:proofErr w:type="spellStart"/>
      <w:r>
        <w:t>Терен</w:t>
      </w:r>
      <w:proofErr w:type="spellEnd"/>
      <w:r>
        <w:br/>
      </w:r>
      <w:hyperlink r:id="rId11" w:history="1">
        <w:r>
          <w:rPr>
            <w:rStyle w:val="aa"/>
            <w:rFonts w:eastAsiaTheme="majorEastAsia"/>
          </w:rPr>
          <w:t>reg@mediexpo.ru</w:t>
        </w:r>
      </w:hyperlink>
      <w:r>
        <w:t xml:space="preserve">                                                            </w:t>
      </w:r>
      <w:hyperlink r:id="rId12" w:history="1">
        <w:r>
          <w:rPr>
            <w:rStyle w:val="aa"/>
            <w:rFonts w:eastAsiaTheme="majorEastAsia"/>
          </w:rPr>
          <w:t>teren@mediexpo.ru</w:t>
        </w:r>
      </w:hyperlink>
      <w:r>
        <w:br/>
        <w:t>+7 (495) 721-88-66 (доб. 111)                                        +7 (495) 721-88-66 (доб. 106)</w:t>
      </w:r>
      <w:r>
        <w:br/>
        <w:t>моб.: +7 (929) 646-5166                                                 моб.: +7 (926) 611-23-75</w:t>
      </w:r>
    </w:p>
    <w:p w:rsidR="006D73BE" w:rsidRPr="00352D52" w:rsidRDefault="006D73BE" w:rsidP="00352D52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34C7" w:rsidRPr="00352D52" w:rsidRDefault="009B34C7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9B34C7" w:rsidRPr="00352D5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7B" w:rsidRDefault="00F8397B" w:rsidP="00352D52">
      <w:pPr>
        <w:spacing w:after="0" w:line="240" w:lineRule="auto"/>
      </w:pPr>
      <w:r>
        <w:separator/>
      </w:r>
    </w:p>
  </w:endnote>
  <w:endnote w:type="continuationSeparator" w:id="0">
    <w:p w:rsidR="00F8397B" w:rsidRDefault="00F8397B" w:rsidP="0035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52" w:rsidRDefault="00352D52">
    <w:pPr>
      <w:pStyle w:val="a8"/>
    </w:pPr>
    <w:r w:rsidRPr="00B86E83">
      <w:rPr>
        <w:noProof/>
        <w:lang w:eastAsia="ru-RU"/>
      </w:rPr>
      <w:drawing>
        <wp:inline distT="0" distB="0" distL="0" distR="0" wp14:anchorId="0683FA40" wp14:editId="1024220D">
          <wp:extent cx="4222750" cy="635000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7B" w:rsidRDefault="00F8397B" w:rsidP="00352D52">
      <w:pPr>
        <w:spacing w:after="0" w:line="240" w:lineRule="auto"/>
      </w:pPr>
      <w:r>
        <w:separator/>
      </w:r>
    </w:p>
  </w:footnote>
  <w:footnote w:type="continuationSeparator" w:id="0">
    <w:p w:rsidR="00F8397B" w:rsidRDefault="00F8397B" w:rsidP="0035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1069"/>
    <w:multiLevelType w:val="multilevel"/>
    <w:tmpl w:val="A38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C7E8A"/>
    <w:multiLevelType w:val="multilevel"/>
    <w:tmpl w:val="6AF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53"/>
    <w:rsid w:val="00034C7A"/>
    <w:rsid w:val="00096A6B"/>
    <w:rsid w:val="002F1653"/>
    <w:rsid w:val="00352D52"/>
    <w:rsid w:val="00403793"/>
    <w:rsid w:val="00534008"/>
    <w:rsid w:val="006D73BE"/>
    <w:rsid w:val="00743E03"/>
    <w:rsid w:val="008C27BA"/>
    <w:rsid w:val="00940718"/>
    <w:rsid w:val="009B34C7"/>
    <w:rsid w:val="00A20217"/>
    <w:rsid w:val="00BB30F6"/>
    <w:rsid w:val="00D90639"/>
    <w:rsid w:val="00DC2DE3"/>
    <w:rsid w:val="00E63457"/>
    <w:rsid w:val="00E801ED"/>
    <w:rsid w:val="00F77AE0"/>
    <w:rsid w:val="00F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1897-55C0-44C3-BC65-60854913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3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BB30F6"/>
    <w:rPr>
      <w:b/>
      <w:bCs/>
    </w:rPr>
  </w:style>
  <w:style w:type="paragraph" w:styleId="a4">
    <w:name w:val="Normal (Web)"/>
    <w:basedOn w:val="a"/>
    <w:uiPriority w:val="99"/>
    <w:unhideWhenUsed/>
    <w:rsid w:val="00BB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2D52"/>
    <w:rPr>
      <w:i/>
      <w:iCs/>
    </w:rPr>
  </w:style>
  <w:style w:type="paragraph" w:styleId="a6">
    <w:name w:val="header"/>
    <w:basedOn w:val="a"/>
    <w:link w:val="a7"/>
    <w:uiPriority w:val="99"/>
    <w:unhideWhenUsed/>
    <w:rsid w:val="0035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D52"/>
  </w:style>
  <w:style w:type="paragraph" w:styleId="a8">
    <w:name w:val="footer"/>
    <w:basedOn w:val="a"/>
    <w:link w:val="a9"/>
    <w:uiPriority w:val="99"/>
    <w:unhideWhenUsed/>
    <w:rsid w:val="0035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D52"/>
  </w:style>
  <w:style w:type="character" w:styleId="aa">
    <w:name w:val="Hyperlink"/>
    <w:basedOn w:val="a0"/>
    <w:uiPriority w:val="99"/>
    <w:unhideWhenUsed/>
    <w:rsid w:val="00352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eren@medi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@mediexp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ndogy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xpo.ru/calendar/forums/nt-2017/inde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director</cp:lastModifiedBy>
  <cp:revision>2</cp:revision>
  <dcterms:created xsi:type="dcterms:W3CDTF">2017-03-02T06:26:00Z</dcterms:created>
  <dcterms:modified xsi:type="dcterms:W3CDTF">2017-03-02T06:26:00Z</dcterms:modified>
</cp:coreProperties>
</file>